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1" w:tblpY="2158"/>
        <w:tblOverlap w:val="never"/>
        <w:tblW w:w="10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95"/>
        <w:gridCol w:w="1514"/>
        <w:gridCol w:w="3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40"/>
                <w:szCs w:val="48"/>
                <w:lang w:val="en-US" w:eastAsia="zh-CN"/>
              </w:rPr>
              <w:t>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标识设计□  文创产品□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姓名（公司名）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邮箱账号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参赛须知: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1、保证参赛作品具有原创性，无抄袭、剽窃他人作品之行为，无侵犯任何第三方的知识产权或其他权利之行为；如产生法律纠纷，与大赛无关。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2、本人同意大赛组委会对参赛作品进行公示、宣传、展览等，作品获奖即版权属主办方所有。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注意事项: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1、参赛者须如实填写报名信息，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7"/>
                <w:szCs w:val="27"/>
                <w:u w:val="none"/>
                <w:lang w:val="en-US" w:eastAsia="zh-CN" w:bidi="ar"/>
              </w:rPr>
              <w:t>以上信息均为必填项，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请按照报名表各项内容认真填写。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2、作品需为原创作品。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3、参赛编号由大赛组委会统一填写。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4、所有参赛作品大赛组委会不予退还，请参赛者自留底稿。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5、大赛组委会对大赛拥有唯一解释权。</w:t>
            </w:r>
          </w:p>
        </w:tc>
      </w:tr>
    </w:tbl>
    <w:p>
      <w:pPr>
        <w:jc w:val="both"/>
        <w:rPr>
          <w:rFonts w:hint="default" w:eastAsiaTheme="minorEastAsia"/>
          <w:sz w:val="40"/>
          <w:szCs w:val="4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备注：投递作品需写明大赛名称“红色娘子军”并将按照征稿启事内容整理作品文件，如因设计师投递内容错漏造成作品无法入选主办方概不负责。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27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GYzZmJhODM5NjM5MWQ0MmY1MjMxMGM3Njg0YjgifQ=="/>
  </w:docVars>
  <w:rsids>
    <w:rsidRoot w:val="03555BFF"/>
    <w:rsid w:val="03547F3F"/>
    <w:rsid w:val="03555BFF"/>
    <w:rsid w:val="19911A88"/>
    <w:rsid w:val="7B0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6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2023-11-28T03:54:00Z</dcterms:created>
  <dc:creator>房景峰cium</dc:creator>
  <cp:lastModifiedBy>房景峰cium</cp:lastModifiedBy>
  <dcterms:modified xsi:type="dcterms:W3CDTF">2023-11-29T01:45:36Z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57BB8D79C49247EC9FE876629F0214EA</vt:lpwstr>
  </property>
</Properties>
</file>